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265A9" w14:textId="2E4873A6" w:rsidR="00C043BD" w:rsidRPr="00AE39C7" w:rsidRDefault="00C043BD" w:rsidP="00C043BD">
      <w:pPr>
        <w:shd w:val="clear" w:color="auto" w:fill="FFFFFF"/>
        <w:spacing w:before="360" w:after="360" w:line="240" w:lineRule="auto"/>
        <w:ind w:left="225" w:right="225"/>
        <w:jc w:val="both"/>
        <w:outlineLvl w:val="0"/>
        <w:rPr>
          <w:rFonts w:ascii="Times New Roman" w:eastAsia="Times New Roman" w:hAnsi="Times New Roman" w:cs="Times New Roman"/>
          <w:b/>
          <w:bCs/>
          <w:color w:val="313639"/>
          <w:kern w:val="36"/>
          <w:lang w:eastAsia="hr-HR"/>
        </w:rPr>
      </w:pPr>
      <w:r w:rsidRPr="00AE39C7">
        <w:rPr>
          <w:rFonts w:ascii="Times New Roman" w:eastAsia="Times New Roman" w:hAnsi="Times New Roman" w:cs="Times New Roman"/>
          <w:b/>
          <w:bCs/>
          <w:color w:val="313639"/>
          <w:kern w:val="36"/>
          <w:lang w:eastAsia="hr-HR"/>
        </w:rPr>
        <w:t>Javni poziv za podnošenje prijava poreza na kuće za odmor za 202</w:t>
      </w:r>
      <w:r>
        <w:rPr>
          <w:rFonts w:ascii="Times New Roman" w:eastAsia="Times New Roman" w:hAnsi="Times New Roman" w:cs="Times New Roman"/>
          <w:b/>
          <w:bCs/>
          <w:color w:val="313639"/>
          <w:kern w:val="36"/>
          <w:lang w:eastAsia="hr-HR"/>
        </w:rPr>
        <w:t>4</w:t>
      </w:r>
      <w:r w:rsidRPr="00AE39C7">
        <w:rPr>
          <w:rFonts w:ascii="Times New Roman" w:eastAsia="Times New Roman" w:hAnsi="Times New Roman" w:cs="Times New Roman"/>
          <w:b/>
          <w:bCs/>
          <w:color w:val="313639"/>
          <w:kern w:val="36"/>
          <w:lang w:eastAsia="hr-HR"/>
        </w:rPr>
        <w:t>.godinu</w:t>
      </w:r>
    </w:p>
    <w:p w14:paraId="2ED30832" w14:textId="77777777" w:rsidR="00C043BD" w:rsidRPr="00AE39C7" w:rsidRDefault="00C043BD" w:rsidP="00C043BD">
      <w:pPr>
        <w:shd w:val="clear" w:color="auto" w:fill="FFFFFF"/>
        <w:spacing w:after="0" w:line="240" w:lineRule="auto"/>
        <w:jc w:val="both"/>
        <w:outlineLvl w:val="3"/>
        <w:rPr>
          <w:rFonts w:ascii="Times New Roman" w:eastAsia="Times New Roman" w:hAnsi="Times New Roman" w:cs="Times New Roman"/>
          <w:color w:val="134787"/>
          <w:lang w:eastAsia="hr-HR"/>
        </w:rPr>
      </w:pPr>
      <w:r w:rsidRPr="00AE39C7">
        <w:rPr>
          <w:rFonts w:ascii="Times New Roman" w:eastAsia="Times New Roman" w:hAnsi="Times New Roman" w:cs="Times New Roman"/>
          <w:color w:val="134787"/>
          <w:lang w:eastAsia="hr-HR"/>
        </w:rPr>
        <w:t>.</w:t>
      </w:r>
    </w:p>
    <w:p w14:paraId="70EE2D1E" w14:textId="35D92042" w:rsidR="00C043BD" w:rsidRPr="00AE39C7" w:rsidRDefault="00C043BD" w:rsidP="00C043BD">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Na temelju članka 49. stavak 1. i 2. Zakona o lokalnim porezima („Narodne novine“, br. 115/16</w:t>
      </w:r>
      <w:r>
        <w:rPr>
          <w:rFonts w:ascii="Times New Roman" w:eastAsia="Times New Roman" w:hAnsi="Times New Roman" w:cs="Times New Roman"/>
          <w:color w:val="313639"/>
          <w:lang w:eastAsia="hr-HR"/>
        </w:rPr>
        <w:t>,</w:t>
      </w:r>
      <w:r w:rsidRPr="00AE39C7">
        <w:rPr>
          <w:rFonts w:ascii="Times New Roman" w:eastAsia="Times New Roman" w:hAnsi="Times New Roman" w:cs="Times New Roman"/>
          <w:color w:val="313639"/>
          <w:lang w:eastAsia="hr-HR"/>
        </w:rPr>
        <w:t xml:space="preserve"> 101/17</w:t>
      </w:r>
      <w:r>
        <w:rPr>
          <w:rFonts w:ascii="Times New Roman" w:eastAsia="Times New Roman" w:hAnsi="Times New Roman" w:cs="Times New Roman"/>
          <w:color w:val="313639"/>
          <w:lang w:eastAsia="hr-HR"/>
        </w:rPr>
        <w:t xml:space="preserve"> 114/22</w:t>
      </w:r>
      <w:r>
        <w:rPr>
          <w:rFonts w:ascii="Times New Roman" w:eastAsia="Times New Roman" w:hAnsi="Times New Roman" w:cs="Times New Roman"/>
          <w:color w:val="313639"/>
          <w:lang w:eastAsia="hr-HR"/>
        </w:rPr>
        <w:t xml:space="preserve"> i 114/23)</w:t>
      </w:r>
      <w:r w:rsidRPr="00AE39C7">
        <w:rPr>
          <w:rFonts w:ascii="Times New Roman" w:eastAsia="Times New Roman" w:hAnsi="Times New Roman" w:cs="Times New Roman"/>
          <w:color w:val="313639"/>
          <w:lang w:eastAsia="hr-HR"/>
        </w:rPr>
        <w:t xml:space="preserve"> i članka</w:t>
      </w:r>
      <w:r>
        <w:rPr>
          <w:rFonts w:ascii="Times New Roman" w:eastAsia="Times New Roman" w:hAnsi="Times New Roman" w:cs="Times New Roman"/>
          <w:color w:val="313639"/>
          <w:lang w:eastAsia="hr-HR"/>
        </w:rPr>
        <w:t xml:space="preserve"> 4</w:t>
      </w:r>
      <w:r w:rsidRPr="00AE39C7">
        <w:rPr>
          <w:rFonts w:ascii="Times New Roman" w:eastAsia="Times New Roman" w:hAnsi="Times New Roman" w:cs="Times New Roman"/>
          <w:color w:val="313639"/>
          <w:lang w:eastAsia="hr-HR"/>
        </w:rPr>
        <w:t xml:space="preserve">. Odluke o porezima Grada Otočca („Službeni vjesnik Grada Otočca, br. </w:t>
      </w:r>
      <w:r>
        <w:rPr>
          <w:rFonts w:ascii="Times New Roman" w:eastAsia="Times New Roman" w:hAnsi="Times New Roman" w:cs="Times New Roman"/>
          <w:color w:val="313639"/>
          <w:lang w:eastAsia="hr-HR"/>
        </w:rPr>
        <w:t>7</w:t>
      </w:r>
      <w:r w:rsidRPr="00AE39C7">
        <w:rPr>
          <w:rFonts w:ascii="Times New Roman" w:eastAsia="Times New Roman" w:hAnsi="Times New Roman" w:cs="Times New Roman"/>
          <w:color w:val="313639"/>
          <w:lang w:eastAsia="hr-HR"/>
        </w:rPr>
        <w:t>/202</w:t>
      </w:r>
      <w:r>
        <w:rPr>
          <w:rFonts w:ascii="Times New Roman" w:eastAsia="Times New Roman" w:hAnsi="Times New Roman" w:cs="Times New Roman"/>
          <w:color w:val="313639"/>
          <w:lang w:eastAsia="hr-HR"/>
        </w:rPr>
        <w:t>3</w:t>
      </w:r>
      <w:r w:rsidRPr="00AE39C7">
        <w:rPr>
          <w:rFonts w:ascii="Times New Roman" w:eastAsia="Times New Roman" w:hAnsi="Times New Roman" w:cs="Times New Roman"/>
          <w:color w:val="313639"/>
          <w:lang w:eastAsia="hr-HR"/>
        </w:rPr>
        <w:t xml:space="preserve">) </w:t>
      </w:r>
    </w:p>
    <w:p w14:paraId="7C45D89F" w14:textId="2A2C4EB5" w:rsidR="00C043BD" w:rsidRPr="00AE39C7" w:rsidRDefault="00C043BD" w:rsidP="00C043BD">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w:t>
      </w:r>
      <w:r w:rsidR="004A3F09">
        <w:rPr>
          <w:rFonts w:ascii="Times New Roman" w:eastAsia="Times New Roman" w:hAnsi="Times New Roman" w:cs="Times New Roman"/>
          <w:color w:val="313639"/>
          <w:lang w:eastAsia="hr-HR"/>
        </w:rPr>
        <w:t xml:space="preserve"> </w:t>
      </w:r>
      <w:r w:rsidRPr="00AE39C7">
        <w:rPr>
          <w:rFonts w:ascii="Times New Roman" w:eastAsia="Times New Roman" w:hAnsi="Times New Roman" w:cs="Times New Roman"/>
          <w:color w:val="313639"/>
          <w:lang w:eastAsia="hr-HR"/>
        </w:rPr>
        <w:t>  GRAD OTOČAC</w:t>
      </w:r>
    </w:p>
    <w:p w14:paraId="1E944E5D" w14:textId="77777777" w:rsidR="00C043BD" w:rsidRPr="00AE39C7" w:rsidRDefault="00C043BD" w:rsidP="00C043BD">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JEDINSTVENI UPRAVNI ODJEL</w:t>
      </w:r>
    </w:p>
    <w:p w14:paraId="3A8F1057" w14:textId="77777777" w:rsidR="00C043BD" w:rsidRPr="00AE39C7" w:rsidRDefault="00C043BD" w:rsidP="00C043BD">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priopćava svim pravnim i fizičkim osobama koji su vlasnici kuća za odmor na području Grada Otočca, da su</w:t>
      </w:r>
    </w:p>
    <w:p w14:paraId="1D72A92F" w14:textId="0DA85CB8" w:rsidR="00C043BD" w:rsidRDefault="00C043BD" w:rsidP="00C043BD">
      <w:pPr>
        <w:shd w:val="clear" w:color="auto" w:fill="FFFFFF"/>
        <w:spacing w:after="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obvezni </w:t>
      </w:r>
      <w:r w:rsidRPr="00AE39C7">
        <w:rPr>
          <w:rFonts w:ascii="Times New Roman" w:eastAsia="Times New Roman" w:hAnsi="Times New Roman" w:cs="Times New Roman"/>
          <w:bCs/>
          <w:color w:val="313639"/>
          <w:lang w:eastAsia="hr-HR"/>
        </w:rPr>
        <w:t>do 31.ožujka 202</w:t>
      </w:r>
      <w:r>
        <w:rPr>
          <w:rFonts w:ascii="Times New Roman" w:eastAsia="Times New Roman" w:hAnsi="Times New Roman" w:cs="Times New Roman"/>
          <w:bCs/>
          <w:color w:val="313639"/>
          <w:lang w:eastAsia="hr-HR"/>
        </w:rPr>
        <w:t>4</w:t>
      </w:r>
      <w:r w:rsidRPr="00AE39C7">
        <w:rPr>
          <w:rFonts w:ascii="Times New Roman" w:eastAsia="Times New Roman" w:hAnsi="Times New Roman" w:cs="Times New Roman"/>
          <w:bCs/>
          <w:color w:val="313639"/>
          <w:lang w:eastAsia="hr-HR"/>
        </w:rPr>
        <w:t>.</w:t>
      </w:r>
      <w:r w:rsidRPr="00AE39C7">
        <w:rPr>
          <w:rFonts w:ascii="Times New Roman" w:eastAsia="Times New Roman" w:hAnsi="Times New Roman" w:cs="Times New Roman"/>
          <w:b/>
          <w:bCs/>
          <w:color w:val="313639"/>
          <w:lang w:eastAsia="hr-HR"/>
        </w:rPr>
        <w:t xml:space="preserve"> </w:t>
      </w:r>
      <w:r w:rsidRPr="00AE39C7">
        <w:rPr>
          <w:rFonts w:ascii="Times New Roman" w:eastAsia="Times New Roman" w:hAnsi="Times New Roman" w:cs="Times New Roman"/>
          <w:bCs/>
          <w:color w:val="313639"/>
          <w:lang w:eastAsia="hr-HR"/>
        </w:rPr>
        <w:t>godine</w:t>
      </w:r>
      <w:r w:rsidRPr="00AE39C7">
        <w:rPr>
          <w:rFonts w:ascii="Times New Roman" w:eastAsia="Times New Roman" w:hAnsi="Times New Roman" w:cs="Times New Roman"/>
          <w:color w:val="313639"/>
          <w:lang w:eastAsia="hr-HR"/>
        </w:rPr>
        <w:t>, radi utvrđivanja poreza na kuće za odmor u 202</w:t>
      </w:r>
      <w:r>
        <w:rPr>
          <w:rFonts w:ascii="Times New Roman" w:eastAsia="Times New Roman" w:hAnsi="Times New Roman" w:cs="Times New Roman"/>
          <w:color w:val="313639"/>
          <w:lang w:eastAsia="hr-HR"/>
        </w:rPr>
        <w:t>4</w:t>
      </w:r>
      <w:r w:rsidRPr="00AE39C7">
        <w:rPr>
          <w:rFonts w:ascii="Times New Roman" w:eastAsia="Times New Roman" w:hAnsi="Times New Roman" w:cs="Times New Roman"/>
          <w:color w:val="313639"/>
          <w:lang w:eastAsia="hr-HR"/>
        </w:rPr>
        <w:t xml:space="preserve"> godini  dostaviti</w:t>
      </w:r>
    </w:p>
    <w:p w14:paraId="69E7A3F1" w14:textId="77777777" w:rsidR="004A3F09" w:rsidRPr="00AE39C7" w:rsidRDefault="004A3F09" w:rsidP="00C043BD">
      <w:pPr>
        <w:shd w:val="clear" w:color="auto" w:fill="FFFFFF"/>
        <w:spacing w:after="0" w:line="255" w:lineRule="atLeast"/>
        <w:jc w:val="both"/>
        <w:rPr>
          <w:rFonts w:ascii="Times New Roman" w:eastAsia="Times New Roman" w:hAnsi="Times New Roman" w:cs="Times New Roman"/>
          <w:color w:val="313639"/>
          <w:lang w:eastAsia="hr-HR"/>
        </w:rPr>
      </w:pPr>
    </w:p>
    <w:p w14:paraId="52D11FCD" w14:textId="77777777" w:rsidR="00C043BD" w:rsidRPr="00AE39C7" w:rsidRDefault="00C043BD" w:rsidP="00C043BD">
      <w:pPr>
        <w:shd w:val="clear" w:color="auto" w:fill="FFFFFF"/>
        <w:spacing w:after="0" w:line="255" w:lineRule="atLeast"/>
        <w:jc w:val="both"/>
        <w:rPr>
          <w:rFonts w:ascii="Times New Roman" w:eastAsia="Times New Roman" w:hAnsi="Times New Roman" w:cs="Times New Roman"/>
          <w:color w:val="313639"/>
          <w:lang w:eastAsia="hr-HR"/>
        </w:rPr>
      </w:pPr>
    </w:p>
    <w:p w14:paraId="3BBDF05D" w14:textId="4707078E" w:rsidR="00C043BD" w:rsidRDefault="00C043BD" w:rsidP="00C043BD">
      <w:pPr>
        <w:shd w:val="clear" w:color="auto" w:fill="FFFFFF"/>
        <w:spacing w:after="0" w:line="255" w:lineRule="atLeast"/>
        <w:ind w:left="1416"/>
        <w:jc w:val="both"/>
        <w:rPr>
          <w:rFonts w:ascii="Times New Roman" w:eastAsia="Times New Roman" w:hAnsi="Times New Roman" w:cs="Times New Roman"/>
          <w:b/>
          <w:bCs/>
          <w:color w:val="313639"/>
          <w:lang w:eastAsia="hr-HR"/>
        </w:rPr>
      </w:pPr>
      <w:r w:rsidRPr="00AE39C7">
        <w:rPr>
          <w:rFonts w:ascii="Times New Roman" w:eastAsia="Times New Roman" w:hAnsi="Times New Roman" w:cs="Times New Roman"/>
          <w:b/>
          <w:bCs/>
          <w:color w:val="313639"/>
          <w:lang w:eastAsia="hr-HR"/>
        </w:rPr>
        <w:t>PRIJAVU PODATAKA ZA UTVRĐIVANJE POREZA NA KUĆE ZA ODMOR ZA 202</w:t>
      </w:r>
      <w:r>
        <w:rPr>
          <w:rFonts w:ascii="Times New Roman" w:eastAsia="Times New Roman" w:hAnsi="Times New Roman" w:cs="Times New Roman"/>
          <w:b/>
          <w:bCs/>
          <w:color w:val="313639"/>
          <w:lang w:eastAsia="hr-HR"/>
        </w:rPr>
        <w:t>4</w:t>
      </w:r>
      <w:r w:rsidRPr="00AE39C7">
        <w:rPr>
          <w:rFonts w:ascii="Times New Roman" w:eastAsia="Times New Roman" w:hAnsi="Times New Roman" w:cs="Times New Roman"/>
          <w:b/>
          <w:bCs/>
          <w:color w:val="313639"/>
          <w:lang w:eastAsia="hr-HR"/>
        </w:rPr>
        <w:t xml:space="preserve"> GODINU</w:t>
      </w:r>
    </w:p>
    <w:p w14:paraId="0D574F52" w14:textId="77777777" w:rsidR="004A3F09" w:rsidRPr="00AE39C7" w:rsidRDefault="004A3F09" w:rsidP="00C043BD">
      <w:pPr>
        <w:shd w:val="clear" w:color="auto" w:fill="FFFFFF"/>
        <w:spacing w:after="0" w:line="255" w:lineRule="atLeast"/>
        <w:ind w:left="1416"/>
        <w:jc w:val="both"/>
        <w:rPr>
          <w:rFonts w:ascii="Times New Roman" w:eastAsia="Times New Roman" w:hAnsi="Times New Roman" w:cs="Times New Roman"/>
          <w:color w:val="313639"/>
          <w:lang w:eastAsia="hr-HR"/>
        </w:rPr>
      </w:pPr>
    </w:p>
    <w:p w14:paraId="00BAE10D" w14:textId="06481B53" w:rsidR="00C043BD" w:rsidRPr="00AE39C7" w:rsidRDefault="00C043BD" w:rsidP="00C043BD">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Člankom 25. Zakona o lokalnim porezima propisano je da</w:t>
      </w:r>
      <w:r>
        <w:rPr>
          <w:rFonts w:ascii="Times New Roman" w:eastAsia="Times New Roman" w:hAnsi="Times New Roman" w:cs="Times New Roman"/>
          <w:color w:val="313639"/>
          <w:lang w:eastAsia="hr-HR"/>
        </w:rPr>
        <w:t xml:space="preserve"> su obveznici</w:t>
      </w:r>
      <w:r w:rsidRPr="00AE39C7">
        <w:rPr>
          <w:rFonts w:ascii="Times New Roman" w:eastAsia="Times New Roman" w:hAnsi="Times New Roman" w:cs="Times New Roman"/>
          <w:color w:val="313639"/>
          <w:lang w:eastAsia="hr-HR"/>
        </w:rPr>
        <w:t xml:space="preserve"> porez na kuće za odmor pravne i fizičke osobe koji su vlasnici kuća za odmor na području Grada Otočca.</w:t>
      </w:r>
      <w:r>
        <w:rPr>
          <w:rFonts w:ascii="Times New Roman" w:eastAsia="Times New Roman" w:hAnsi="Times New Roman" w:cs="Times New Roman"/>
          <w:color w:val="313639"/>
          <w:lang w:eastAsia="hr-HR"/>
        </w:rPr>
        <w:t xml:space="preserve"> Također, Zakonom je propisano da obveza plaćanja porezana dohodak/dobit s osnove obavljanja djelatnosti iznajmljivanja stanova, soba i postelja putnicima i turistima te organiziranja kampova prema odredbama posebnog propisa o porezu na dohodak ne utječe na utvrđivanje statusa kuće za odmor</w:t>
      </w:r>
    </w:p>
    <w:p w14:paraId="1C586B38" w14:textId="77777777" w:rsidR="00C043BD" w:rsidRPr="00AE39C7" w:rsidRDefault="00C043BD" w:rsidP="00C043BD">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Kućom za odmor smatra se svaka zgrada ili dio zgrade ili stan koji se koriste povremeno ili sezonski, odnosno koji se ne koriste za trajno stanovanje. Kućom za odmor ne smatraju se gospodarstvene zgrade koje služe za smještaj poljoprivrednih strojeva, oruđa i drugog pribora, kao i zgrade, dijelovi zgrada te stanovi koji se koriste za obavljanje registrirane djelatnosti.</w:t>
      </w:r>
    </w:p>
    <w:p w14:paraId="0715FF5E" w14:textId="77777777" w:rsidR="00C043BD" w:rsidRPr="00AE39C7" w:rsidRDefault="00C043BD" w:rsidP="00C043BD">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Porez na kuće za odmor ne plaća se na kuće za odmor koje se ne mogu koristiti zbog prirodnih nepogoda (potres, poplava, požar), starosti i trošnosti.</w:t>
      </w:r>
    </w:p>
    <w:p w14:paraId="71F264B7" w14:textId="7FDC46F2" w:rsidR="00C043BD" w:rsidRPr="00AE39C7" w:rsidRDefault="00C043BD" w:rsidP="00C043BD">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xml:space="preserve">Visina poreza na kuće za odmor iznosi </w:t>
      </w:r>
      <w:r>
        <w:rPr>
          <w:rFonts w:ascii="Times New Roman" w:eastAsia="Times New Roman" w:hAnsi="Times New Roman" w:cs="Times New Roman"/>
          <w:color w:val="313639"/>
          <w:lang w:eastAsia="hr-HR"/>
        </w:rPr>
        <w:t>1,3</w:t>
      </w:r>
      <w:r>
        <w:rPr>
          <w:rFonts w:ascii="Times New Roman" w:eastAsia="Times New Roman" w:hAnsi="Times New Roman" w:cs="Times New Roman"/>
          <w:color w:val="313639"/>
          <w:lang w:eastAsia="hr-HR"/>
        </w:rPr>
        <w:t>5</w:t>
      </w:r>
      <w:r w:rsidRPr="00AE39C7">
        <w:rPr>
          <w:rFonts w:ascii="Times New Roman" w:eastAsia="Times New Roman" w:hAnsi="Times New Roman" w:cs="Times New Roman"/>
          <w:color w:val="313639"/>
          <w:lang w:eastAsia="hr-HR"/>
        </w:rPr>
        <w:t xml:space="preserve"> </w:t>
      </w:r>
      <w:r>
        <w:rPr>
          <w:rFonts w:ascii="Times New Roman" w:eastAsia="Times New Roman" w:hAnsi="Times New Roman" w:cs="Times New Roman"/>
          <w:color w:val="313639"/>
          <w:lang w:eastAsia="hr-HR"/>
        </w:rPr>
        <w:t>eura</w:t>
      </w:r>
      <w:r w:rsidRPr="00AE39C7">
        <w:rPr>
          <w:rFonts w:ascii="Times New Roman" w:eastAsia="Times New Roman" w:hAnsi="Times New Roman" w:cs="Times New Roman"/>
          <w:color w:val="313639"/>
          <w:lang w:eastAsia="hr-HR"/>
        </w:rPr>
        <w:t xml:space="preserve"> po metru kvadratnom korisne površine i plaća se jednom godišnje.</w:t>
      </w:r>
    </w:p>
    <w:p w14:paraId="7B0EC570" w14:textId="77777777" w:rsidR="00C043BD" w:rsidRPr="00AE39C7" w:rsidRDefault="00C043BD" w:rsidP="00C043BD">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xml:space="preserve">Prema </w:t>
      </w:r>
      <w:r w:rsidRPr="00AE39C7">
        <w:rPr>
          <w:rFonts w:ascii="Times New Roman" w:hAnsi="Times New Roman" w:cs="Times New Roman"/>
          <w:color w:val="383838"/>
          <w:shd w:val="clear" w:color="auto" w:fill="FFFFFF"/>
        </w:rPr>
        <w:t>članku 49. stavak 1. i 2. Zakona o lokalnim porezima obveznici poreza na kuće za odmor dužni su do 31. ožujka tekuće godine dostaviti podatke o kućama za odmor koji se odnose na mjesto gdje se nalaze ti objekti, korisnu površinu te druge podatke potrebne za razrez poreza.</w:t>
      </w:r>
    </w:p>
    <w:p w14:paraId="00B95327" w14:textId="77777777" w:rsidR="00C043BD" w:rsidRPr="00AE39C7" w:rsidRDefault="00C043BD" w:rsidP="00C043BD">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Prijavu podnose oni porezni obveznici kod kojih su u odnosu na prethodnu godinu nastale promjene bitne za utvrđivanje poreza te novi vlasnici kuća za odmor.</w:t>
      </w:r>
    </w:p>
    <w:p w14:paraId="60B79D36" w14:textId="77777777" w:rsidR="00C043BD" w:rsidRPr="00AE39C7" w:rsidRDefault="00C043BD" w:rsidP="00C043BD">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w:t>
      </w:r>
    </w:p>
    <w:p w14:paraId="7F171A99" w14:textId="77777777" w:rsidR="00C043BD" w:rsidRPr="00AE39C7" w:rsidRDefault="00C043BD" w:rsidP="00C043BD">
      <w:pPr>
        <w:shd w:val="clear" w:color="auto" w:fill="FFFFFF"/>
        <w:spacing w:before="180" w:after="18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Za nepodnošenje prijave s podacima nužnim za utvrđivanje poreza, predviđene su novčane kazne za prekršaj  i to za fizičke osobe</w:t>
      </w:r>
      <w:r>
        <w:rPr>
          <w:rFonts w:ascii="Times New Roman" w:eastAsia="Times New Roman" w:hAnsi="Times New Roman" w:cs="Times New Roman"/>
          <w:color w:val="313639"/>
          <w:lang w:eastAsia="hr-HR"/>
        </w:rPr>
        <w:t>-građane</w:t>
      </w:r>
      <w:r w:rsidRPr="00AE39C7">
        <w:rPr>
          <w:rFonts w:ascii="Times New Roman" w:eastAsia="Times New Roman" w:hAnsi="Times New Roman" w:cs="Times New Roman"/>
          <w:color w:val="313639"/>
          <w:lang w:eastAsia="hr-HR"/>
        </w:rPr>
        <w:t xml:space="preserve"> u iznosu od </w:t>
      </w:r>
      <w:r>
        <w:rPr>
          <w:rFonts w:ascii="Times New Roman" w:eastAsia="Times New Roman" w:hAnsi="Times New Roman" w:cs="Times New Roman"/>
          <w:color w:val="313639"/>
          <w:lang w:eastAsia="hr-HR"/>
        </w:rPr>
        <w:t>10,00</w:t>
      </w:r>
      <w:r w:rsidRPr="00AE39C7">
        <w:rPr>
          <w:rFonts w:ascii="Times New Roman" w:eastAsia="Times New Roman" w:hAnsi="Times New Roman" w:cs="Times New Roman"/>
          <w:color w:val="313639"/>
          <w:lang w:eastAsia="hr-HR"/>
        </w:rPr>
        <w:t xml:space="preserve"> do </w:t>
      </w:r>
      <w:r>
        <w:rPr>
          <w:rFonts w:ascii="Times New Roman" w:eastAsia="Times New Roman" w:hAnsi="Times New Roman" w:cs="Times New Roman"/>
          <w:color w:val="313639"/>
          <w:lang w:eastAsia="hr-HR"/>
        </w:rPr>
        <w:t>660,00</w:t>
      </w:r>
      <w:r w:rsidRPr="00AE39C7">
        <w:rPr>
          <w:rFonts w:ascii="Times New Roman" w:eastAsia="Times New Roman" w:hAnsi="Times New Roman" w:cs="Times New Roman"/>
          <w:color w:val="313639"/>
          <w:lang w:eastAsia="hr-HR"/>
        </w:rPr>
        <w:t xml:space="preserve"> </w:t>
      </w:r>
      <w:r>
        <w:rPr>
          <w:rFonts w:ascii="Times New Roman" w:eastAsia="Times New Roman" w:hAnsi="Times New Roman" w:cs="Times New Roman"/>
          <w:color w:val="313639"/>
          <w:lang w:eastAsia="hr-HR"/>
        </w:rPr>
        <w:t>eura</w:t>
      </w:r>
      <w:r w:rsidRPr="00AE39C7">
        <w:rPr>
          <w:rFonts w:ascii="Times New Roman" w:eastAsia="Times New Roman" w:hAnsi="Times New Roman" w:cs="Times New Roman"/>
          <w:color w:val="313639"/>
          <w:lang w:eastAsia="hr-HR"/>
        </w:rPr>
        <w:t xml:space="preserve"> </w:t>
      </w:r>
      <w:r>
        <w:rPr>
          <w:rFonts w:ascii="Times New Roman" w:eastAsia="Times New Roman" w:hAnsi="Times New Roman" w:cs="Times New Roman"/>
          <w:color w:val="313639"/>
          <w:lang w:eastAsia="hr-HR"/>
        </w:rPr>
        <w:t xml:space="preserve">,fizičke osobe-obrtnike ili osobe koje obavljaju drugu samostalnu djelatnost u iznosu od 130,00 do 1.990,00 eura te </w:t>
      </w:r>
      <w:r w:rsidRPr="00AE39C7">
        <w:rPr>
          <w:rFonts w:ascii="Times New Roman" w:eastAsia="Times New Roman" w:hAnsi="Times New Roman" w:cs="Times New Roman"/>
          <w:color w:val="313639"/>
          <w:lang w:eastAsia="hr-HR"/>
        </w:rPr>
        <w:t xml:space="preserve">za pravne osobe u iznosu od </w:t>
      </w:r>
      <w:r>
        <w:rPr>
          <w:rFonts w:ascii="Times New Roman" w:eastAsia="Times New Roman" w:hAnsi="Times New Roman" w:cs="Times New Roman"/>
          <w:color w:val="313639"/>
          <w:lang w:eastAsia="hr-HR"/>
        </w:rPr>
        <w:t>260,00</w:t>
      </w:r>
      <w:r w:rsidRPr="00AE39C7">
        <w:rPr>
          <w:rFonts w:ascii="Times New Roman" w:eastAsia="Times New Roman" w:hAnsi="Times New Roman" w:cs="Times New Roman"/>
          <w:color w:val="313639"/>
          <w:lang w:eastAsia="hr-HR"/>
        </w:rPr>
        <w:t xml:space="preserve"> do </w:t>
      </w:r>
      <w:r>
        <w:rPr>
          <w:rFonts w:ascii="Times New Roman" w:eastAsia="Times New Roman" w:hAnsi="Times New Roman" w:cs="Times New Roman"/>
          <w:color w:val="313639"/>
          <w:lang w:eastAsia="hr-HR"/>
        </w:rPr>
        <w:t>3.310,00</w:t>
      </w:r>
      <w:r w:rsidRPr="00AE39C7">
        <w:rPr>
          <w:rFonts w:ascii="Times New Roman" w:eastAsia="Times New Roman" w:hAnsi="Times New Roman" w:cs="Times New Roman"/>
          <w:color w:val="313639"/>
          <w:lang w:eastAsia="hr-HR"/>
        </w:rPr>
        <w:t xml:space="preserve"> </w:t>
      </w:r>
      <w:r>
        <w:rPr>
          <w:rFonts w:ascii="Times New Roman" w:eastAsia="Times New Roman" w:hAnsi="Times New Roman" w:cs="Times New Roman"/>
          <w:color w:val="313639"/>
          <w:lang w:eastAsia="hr-HR"/>
        </w:rPr>
        <w:t>eura</w:t>
      </w:r>
      <w:r w:rsidRPr="00AE39C7">
        <w:rPr>
          <w:rFonts w:ascii="Times New Roman" w:eastAsia="Times New Roman" w:hAnsi="Times New Roman" w:cs="Times New Roman"/>
          <w:color w:val="313639"/>
          <w:lang w:eastAsia="hr-HR"/>
        </w:rPr>
        <w:t xml:space="preserve">, kako je propisano </w:t>
      </w:r>
      <w:r>
        <w:rPr>
          <w:rFonts w:ascii="Times New Roman" w:eastAsia="Times New Roman" w:hAnsi="Times New Roman" w:cs="Times New Roman"/>
          <w:color w:val="313639"/>
          <w:lang w:eastAsia="hr-HR"/>
        </w:rPr>
        <w:t xml:space="preserve">odredbom članka </w:t>
      </w:r>
      <w:r w:rsidRPr="00AE39C7">
        <w:rPr>
          <w:rFonts w:ascii="Times New Roman" w:eastAsia="Times New Roman" w:hAnsi="Times New Roman" w:cs="Times New Roman"/>
          <w:color w:val="313639"/>
          <w:lang w:eastAsia="hr-HR"/>
        </w:rPr>
        <w:t>56. Zakona o lokalnim porezima.</w:t>
      </w:r>
    </w:p>
    <w:p w14:paraId="34646029" w14:textId="77777777" w:rsidR="00C043BD" w:rsidRPr="00AE39C7" w:rsidRDefault="00C043BD" w:rsidP="00C043BD">
      <w:pPr>
        <w:shd w:val="clear" w:color="auto" w:fill="FFFFFF"/>
        <w:spacing w:after="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xml:space="preserve">OBRAZAC PRIJAVE podataka za utvrđivanje poreza na kuće za odmor može se preuzeti na Web stranici Grada </w:t>
      </w:r>
      <w:proofErr w:type="spellStart"/>
      <w:r w:rsidRPr="00AE39C7">
        <w:rPr>
          <w:rFonts w:ascii="Times New Roman" w:eastAsia="Times New Roman" w:hAnsi="Times New Roman" w:cs="Times New Roman"/>
          <w:color w:val="313639"/>
          <w:lang w:eastAsia="hr-HR"/>
        </w:rPr>
        <w:t>Otočca:</w:t>
      </w:r>
      <w:r w:rsidRPr="00AE39C7">
        <w:rPr>
          <w:rFonts w:ascii="Times New Roman" w:eastAsia="Times New Roman" w:hAnsi="Times New Roman" w:cs="Times New Roman"/>
          <w:color w:val="46A2D8"/>
          <w:u w:val="single"/>
          <w:lang w:eastAsia="hr-HR"/>
        </w:rPr>
        <w:t>.</w:t>
      </w:r>
      <w:r>
        <w:rPr>
          <w:rFonts w:ascii="Times New Roman" w:eastAsia="Times New Roman" w:hAnsi="Times New Roman" w:cs="Times New Roman"/>
          <w:color w:val="313639"/>
          <w:lang w:eastAsia="hr-HR"/>
        </w:rPr>
        <w:t>otocac.hr</w:t>
      </w:r>
      <w:proofErr w:type="spellEnd"/>
      <w:r>
        <w:rPr>
          <w:rFonts w:ascii="Times New Roman" w:eastAsia="Times New Roman" w:hAnsi="Times New Roman" w:cs="Times New Roman"/>
          <w:color w:val="313639"/>
          <w:lang w:eastAsia="hr-HR"/>
        </w:rPr>
        <w:t>/svi-dokumenti.html</w:t>
      </w:r>
      <w:r w:rsidRPr="00AE39C7">
        <w:rPr>
          <w:rFonts w:ascii="Times New Roman" w:eastAsia="Times New Roman" w:hAnsi="Times New Roman" w:cs="Times New Roman"/>
          <w:color w:val="313639"/>
          <w:lang w:eastAsia="hr-HR"/>
        </w:rPr>
        <w:t xml:space="preserve"> </w:t>
      </w:r>
    </w:p>
    <w:p w14:paraId="09C9D30C" w14:textId="179A3A64" w:rsidR="00C043BD" w:rsidRPr="00AE39C7" w:rsidRDefault="00C043BD" w:rsidP="00C043BD">
      <w:pPr>
        <w:shd w:val="clear" w:color="auto" w:fill="FFFFFF"/>
        <w:spacing w:after="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 xml:space="preserve">Popunjeni obrazac prijave podataka za utvrđivanje poreza na kuće za odmor sa popratnom dokumentacijom (vlasnički list ili kupoprodajni ugovor) potrebno je dostaviti poštom na adresu: Grad </w:t>
      </w:r>
      <w:r w:rsidRPr="00AE39C7">
        <w:rPr>
          <w:rFonts w:ascii="Times New Roman" w:eastAsia="Times New Roman" w:hAnsi="Times New Roman" w:cs="Times New Roman"/>
          <w:color w:val="313639"/>
          <w:lang w:eastAsia="hr-HR"/>
        </w:rPr>
        <w:lastRenderedPageBreak/>
        <w:t>Otočac, Jedinstveni upravni odjel Kralja Zvonimira 10 53220 Otočac ili na e-mail: </w:t>
      </w:r>
      <w:proofErr w:type="spellStart"/>
      <w:r>
        <w:fldChar w:fldCharType="begin"/>
      </w:r>
      <w:r>
        <w:instrText>HYPERLINK "mailto:marija.randic@opatija.hr"</w:instrText>
      </w:r>
      <w:r>
        <w:fldChar w:fldCharType="separate"/>
      </w:r>
      <w:r w:rsidRPr="00AE39C7">
        <w:rPr>
          <w:rFonts w:ascii="Times New Roman" w:eastAsia="Times New Roman" w:hAnsi="Times New Roman" w:cs="Times New Roman"/>
          <w:color w:val="46A2D8"/>
          <w:u w:val="single"/>
          <w:lang w:eastAsia="hr-HR"/>
        </w:rPr>
        <w:t>ivana</w:t>
      </w:r>
      <w:r>
        <w:rPr>
          <w:rFonts w:ascii="Times New Roman" w:eastAsia="Times New Roman" w:hAnsi="Times New Roman" w:cs="Times New Roman"/>
          <w:color w:val="46A2D8"/>
          <w:u w:val="single"/>
          <w:lang w:eastAsia="hr-HR"/>
        </w:rPr>
        <w:fldChar w:fldCharType="end"/>
      </w:r>
      <w:r w:rsidR="004A3F09">
        <w:rPr>
          <w:rFonts w:ascii="Times New Roman" w:eastAsia="Times New Roman" w:hAnsi="Times New Roman" w:cs="Times New Roman"/>
          <w:color w:val="313639"/>
          <w:lang w:eastAsia="hr-HR"/>
        </w:rPr>
        <w:t>.</w:t>
      </w:r>
      <w:r w:rsidRPr="00AE39C7">
        <w:rPr>
          <w:rFonts w:ascii="Times New Roman" w:eastAsia="Times New Roman" w:hAnsi="Times New Roman" w:cs="Times New Roman"/>
          <w:color w:val="313639"/>
          <w:lang w:eastAsia="hr-HR"/>
        </w:rPr>
        <w:t>degoricija</w:t>
      </w:r>
      <w:proofErr w:type="spellEnd"/>
      <w:r w:rsidRPr="00AE39C7">
        <w:rPr>
          <w:rFonts w:ascii="Times New Roman" w:eastAsia="Times New Roman" w:hAnsi="Times New Roman" w:cs="Times New Roman"/>
          <w:color w:val="313639"/>
          <w:lang w:eastAsia="hr-HR"/>
        </w:rPr>
        <w:t xml:space="preserve"> @otocac.hr </w:t>
      </w:r>
    </w:p>
    <w:p w14:paraId="1EB23825" w14:textId="77777777" w:rsidR="00C043BD" w:rsidRPr="00AE39C7" w:rsidRDefault="00C043BD" w:rsidP="00C043BD">
      <w:pPr>
        <w:shd w:val="clear" w:color="auto" w:fill="FFFFFF"/>
        <w:spacing w:after="0" w:line="255" w:lineRule="atLeast"/>
        <w:jc w:val="both"/>
        <w:rPr>
          <w:rFonts w:ascii="Times New Roman" w:eastAsia="Times New Roman" w:hAnsi="Times New Roman" w:cs="Times New Roman"/>
          <w:color w:val="313639"/>
          <w:lang w:eastAsia="hr-HR"/>
        </w:rPr>
      </w:pPr>
      <w:r w:rsidRPr="00AE39C7">
        <w:rPr>
          <w:rFonts w:ascii="Times New Roman" w:eastAsia="Times New Roman" w:hAnsi="Times New Roman" w:cs="Times New Roman"/>
          <w:color w:val="313639"/>
          <w:lang w:eastAsia="hr-HR"/>
        </w:rPr>
        <w:t>Za sve upite  o prijavi podataka za utvrđivanje poreza na kuće za odmor  možete se obratiti na broj telefona: 053/617-955 ili na e-mail: </w:t>
      </w:r>
      <w:hyperlink r:id="rId4" w:history="1">
        <w:r w:rsidRPr="00AE39C7">
          <w:rPr>
            <w:rStyle w:val="Hiperveza"/>
            <w:rFonts w:ascii="Times New Roman" w:eastAsia="Times New Roman" w:hAnsi="Times New Roman" w:cs="Times New Roman"/>
            <w:lang w:eastAsia="hr-HR"/>
          </w:rPr>
          <w:t>ivana.degoricija@otocac.hr</w:t>
        </w:r>
      </w:hyperlink>
      <w:r w:rsidRPr="00AE39C7">
        <w:rPr>
          <w:rFonts w:ascii="Times New Roman" w:eastAsia="Times New Roman" w:hAnsi="Times New Roman" w:cs="Times New Roman"/>
          <w:color w:val="313639"/>
          <w:lang w:eastAsia="hr-HR"/>
        </w:rPr>
        <w:t> .</w:t>
      </w:r>
    </w:p>
    <w:p w14:paraId="3620B38A" w14:textId="77777777" w:rsidR="00C043BD" w:rsidRPr="00AE39C7" w:rsidRDefault="00C043BD" w:rsidP="00C043BD">
      <w:pPr>
        <w:jc w:val="both"/>
        <w:rPr>
          <w:rFonts w:ascii="Times New Roman" w:hAnsi="Times New Roman" w:cs="Times New Roman"/>
        </w:rPr>
      </w:pPr>
    </w:p>
    <w:p w14:paraId="1F9495A5" w14:textId="77777777" w:rsidR="00C043BD" w:rsidRDefault="00C043BD" w:rsidP="00C043BD"/>
    <w:p w14:paraId="7E94D315" w14:textId="77777777" w:rsidR="00BC47EB" w:rsidRDefault="00BC47EB"/>
    <w:sectPr w:rsidR="00BC47EB" w:rsidSect="00F34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BD"/>
    <w:rsid w:val="004A3F09"/>
    <w:rsid w:val="00BC47EB"/>
    <w:rsid w:val="00C043BD"/>
    <w:rsid w:val="00F342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58B7"/>
  <w15:chartTrackingRefBased/>
  <w15:docId w15:val="{0FE322DE-9EAD-4C65-85E0-21528A72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3BD"/>
    <w:pPr>
      <w:spacing w:after="200" w:line="276" w:lineRule="auto"/>
    </w:pPr>
    <w:rPr>
      <w:kern w:val="0"/>
      <w14:ligatures w14:val="none"/>
    </w:rPr>
  </w:style>
  <w:style w:type="paragraph" w:styleId="Naslov1">
    <w:name w:val="heading 1"/>
    <w:basedOn w:val="Normal"/>
    <w:next w:val="Normal"/>
    <w:link w:val="Naslov1Char"/>
    <w:uiPriority w:val="9"/>
    <w:qFormat/>
    <w:rsid w:val="00C043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C043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C043B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C043B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C043B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C043B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C043B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C043B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C043B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043B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043B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043B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043B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043B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043B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043B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043B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043BD"/>
    <w:rPr>
      <w:rFonts w:eastAsiaTheme="majorEastAsia" w:cstheme="majorBidi"/>
      <w:color w:val="272727" w:themeColor="text1" w:themeTint="D8"/>
    </w:rPr>
  </w:style>
  <w:style w:type="paragraph" w:styleId="Naslov">
    <w:name w:val="Title"/>
    <w:basedOn w:val="Normal"/>
    <w:next w:val="Normal"/>
    <w:link w:val="NaslovChar"/>
    <w:uiPriority w:val="10"/>
    <w:qFormat/>
    <w:rsid w:val="00C043B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C043B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043B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C043B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043BD"/>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C043BD"/>
    <w:rPr>
      <w:i/>
      <w:iCs/>
      <w:color w:val="404040" w:themeColor="text1" w:themeTint="BF"/>
    </w:rPr>
  </w:style>
  <w:style w:type="paragraph" w:styleId="Odlomakpopisa">
    <w:name w:val="List Paragraph"/>
    <w:basedOn w:val="Normal"/>
    <w:uiPriority w:val="34"/>
    <w:qFormat/>
    <w:rsid w:val="00C043BD"/>
    <w:pPr>
      <w:spacing w:after="160" w:line="259" w:lineRule="auto"/>
      <w:ind w:left="720"/>
      <w:contextualSpacing/>
    </w:pPr>
    <w:rPr>
      <w:kern w:val="2"/>
      <w14:ligatures w14:val="standardContextual"/>
    </w:rPr>
  </w:style>
  <w:style w:type="character" w:styleId="Jakoisticanje">
    <w:name w:val="Intense Emphasis"/>
    <w:basedOn w:val="Zadanifontodlomka"/>
    <w:uiPriority w:val="21"/>
    <w:qFormat/>
    <w:rsid w:val="00C043BD"/>
    <w:rPr>
      <w:i/>
      <w:iCs/>
      <w:color w:val="0F4761" w:themeColor="accent1" w:themeShade="BF"/>
    </w:rPr>
  </w:style>
  <w:style w:type="paragraph" w:styleId="Naglaencitat">
    <w:name w:val="Intense Quote"/>
    <w:basedOn w:val="Normal"/>
    <w:next w:val="Normal"/>
    <w:link w:val="NaglaencitatChar"/>
    <w:uiPriority w:val="30"/>
    <w:qFormat/>
    <w:rsid w:val="00C043B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NaglaencitatChar">
    <w:name w:val="Naglašen citat Char"/>
    <w:basedOn w:val="Zadanifontodlomka"/>
    <w:link w:val="Naglaencitat"/>
    <w:uiPriority w:val="30"/>
    <w:rsid w:val="00C043BD"/>
    <w:rPr>
      <w:i/>
      <w:iCs/>
      <w:color w:val="0F4761" w:themeColor="accent1" w:themeShade="BF"/>
    </w:rPr>
  </w:style>
  <w:style w:type="character" w:styleId="Istaknutareferenca">
    <w:name w:val="Intense Reference"/>
    <w:basedOn w:val="Zadanifontodlomka"/>
    <w:uiPriority w:val="32"/>
    <w:qFormat/>
    <w:rsid w:val="00C043BD"/>
    <w:rPr>
      <w:b/>
      <w:bCs/>
      <w:smallCaps/>
      <w:color w:val="0F4761" w:themeColor="accent1" w:themeShade="BF"/>
      <w:spacing w:val="5"/>
    </w:rPr>
  </w:style>
  <w:style w:type="character" w:styleId="Hiperveza">
    <w:name w:val="Hyperlink"/>
    <w:basedOn w:val="Zadanifontodlomka"/>
    <w:uiPriority w:val="99"/>
    <w:unhideWhenUsed/>
    <w:rsid w:val="00C043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vana.degoricija@otoca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501</Words>
  <Characters>2859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Degoricija</dc:creator>
  <cp:keywords/>
  <dc:description/>
  <cp:lastModifiedBy>Ivana  Degoricija</cp:lastModifiedBy>
  <cp:revision>1</cp:revision>
  <dcterms:created xsi:type="dcterms:W3CDTF">2024-03-07T06:44:00Z</dcterms:created>
  <dcterms:modified xsi:type="dcterms:W3CDTF">2024-03-07T07:00:00Z</dcterms:modified>
</cp:coreProperties>
</file>